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kern w:val="0"/>
          <w:sz w:val="28"/>
          <w:szCs w:val="28"/>
        </w:rPr>
      </w:pPr>
      <w:r>
        <w:rPr>
          <w:rFonts w:ascii="黑体" w:hAnsi="黑体" w:eastAsia="黑体" w:cs="宋体"/>
          <w:kern w:val="0"/>
          <w:sz w:val="28"/>
          <w:szCs w:val="28"/>
        </w:rPr>
        <w:t>关于举行202</w:t>
      </w:r>
      <w:r>
        <w:rPr>
          <w:rFonts w:hint="eastAsia" w:ascii="黑体" w:hAnsi="黑体" w:eastAsia="黑体" w:cs="宋体"/>
          <w:kern w:val="0"/>
          <w:sz w:val="28"/>
          <w:szCs w:val="28"/>
        </w:rPr>
        <w:t>1</w:t>
      </w:r>
      <w:r>
        <w:rPr>
          <w:rFonts w:ascii="黑体" w:hAnsi="黑体" w:eastAsia="黑体" w:cs="宋体"/>
          <w:kern w:val="0"/>
          <w:sz w:val="28"/>
          <w:szCs w:val="28"/>
        </w:rPr>
        <w:t>年</w:t>
      </w:r>
      <w:r>
        <w:rPr>
          <w:rFonts w:hint="eastAsia" w:ascii="黑体" w:hAnsi="黑体" w:eastAsia="黑体" w:cs="宋体"/>
          <w:kern w:val="0"/>
          <w:sz w:val="28"/>
          <w:szCs w:val="28"/>
        </w:rPr>
        <w:t>江苏省金坛中等专业</w:t>
      </w:r>
      <w:r>
        <w:rPr>
          <w:rFonts w:ascii="黑体" w:hAnsi="黑体" w:eastAsia="黑体" w:cs="宋体"/>
          <w:kern w:val="0"/>
          <w:sz w:val="28"/>
          <w:szCs w:val="28"/>
        </w:rPr>
        <w:t>学校教学大赛的通知</w:t>
      </w:r>
    </w:p>
    <w:p>
      <w:pPr>
        <w:widowControl/>
        <w:spacing w:line="540" w:lineRule="atLeast"/>
        <w:jc w:val="left"/>
        <w:rPr>
          <w:rFonts w:ascii="宋体" w:hAnsi="宋体" w:eastAsia="宋体" w:cs="宋体"/>
          <w:kern w:val="0"/>
          <w:sz w:val="24"/>
          <w:szCs w:val="24"/>
        </w:rPr>
      </w:pPr>
      <w:r>
        <w:rPr>
          <w:rFonts w:hint="eastAsia" w:ascii="宋体" w:hAnsi="宋体" w:eastAsia="宋体" w:cs="宋体"/>
          <w:kern w:val="0"/>
          <w:sz w:val="24"/>
          <w:szCs w:val="24"/>
        </w:rPr>
        <w:t>各系部、教研室（组）</w:t>
      </w:r>
      <w:r>
        <w:rPr>
          <w:rFonts w:ascii="宋体" w:hAnsi="宋体" w:eastAsia="宋体" w:cs="宋体"/>
          <w:kern w:val="0"/>
          <w:sz w:val="24"/>
          <w:szCs w:val="24"/>
        </w:rPr>
        <w:t>：</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为推动职业教育教学改革，提高我校教师教育技术应用能力</w:t>
      </w:r>
      <w:r>
        <w:rPr>
          <w:rFonts w:ascii="宋体" w:hAnsi="宋体" w:eastAsia="宋体" w:cs="宋体"/>
          <w:kern w:val="0"/>
          <w:sz w:val="24"/>
          <w:szCs w:val="24"/>
        </w:rPr>
        <w:t>，同时选拔部分优秀教师参加省</w:t>
      </w:r>
      <w:r>
        <w:rPr>
          <w:rFonts w:hint="eastAsia" w:ascii="宋体" w:hAnsi="宋体" w:eastAsia="宋体" w:cs="宋体"/>
          <w:kern w:val="0"/>
          <w:sz w:val="24"/>
          <w:szCs w:val="24"/>
        </w:rPr>
        <w:t>、市</w:t>
      </w:r>
      <w:r>
        <w:rPr>
          <w:rFonts w:ascii="宋体" w:hAnsi="宋体" w:eastAsia="宋体" w:cs="宋体"/>
          <w:kern w:val="0"/>
          <w:sz w:val="24"/>
          <w:szCs w:val="24"/>
        </w:rPr>
        <w:t>职业学校教学大赛，</w:t>
      </w:r>
      <w:r>
        <w:rPr>
          <w:rFonts w:hint="eastAsia" w:ascii="宋体" w:hAnsi="宋体" w:eastAsia="宋体" w:cs="宋体"/>
          <w:kern w:val="0"/>
          <w:sz w:val="24"/>
          <w:szCs w:val="24"/>
        </w:rPr>
        <w:t>经研究，定于本学期</w:t>
      </w:r>
      <w:r>
        <w:rPr>
          <w:rFonts w:hint="eastAsia" w:ascii="宋体" w:hAnsi="宋体" w:eastAsia="宋体" w:cs="宋体"/>
          <w:color w:val="000000" w:themeColor="text1"/>
          <w:kern w:val="0"/>
          <w:sz w:val="24"/>
          <w:szCs w:val="24"/>
          <w14:textFill>
            <w14:solidFill>
              <w14:schemeClr w14:val="tx1"/>
            </w14:solidFill>
          </w14:textFill>
        </w:rPr>
        <w:t>第四周</w:t>
      </w:r>
      <w:r>
        <w:rPr>
          <w:rFonts w:hint="eastAsia" w:ascii="宋体" w:hAnsi="宋体" w:eastAsia="宋体" w:cs="宋体"/>
          <w:kern w:val="0"/>
          <w:sz w:val="24"/>
          <w:szCs w:val="24"/>
        </w:rPr>
        <w:t>举办江苏省金坛中等专业学校</w:t>
      </w:r>
      <w:r>
        <w:rPr>
          <w:rFonts w:ascii="宋体" w:hAnsi="宋体" w:eastAsia="宋体" w:cs="宋体"/>
          <w:kern w:val="0"/>
          <w:sz w:val="24"/>
          <w:szCs w:val="24"/>
        </w:rPr>
        <w:t>教学大赛，现将竞赛方案等予以公布。请各</w:t>
      </w:r>
      <w:r>
        <w:rPr>
          <w:rFonts w:hint="eastAsia" w:ascii="宋体" w:hAnsi="宋体" w:eastAsia="宋体" w:cs="宋体"/>
          <w:kern w:val="0"/>
          <w:sz w:val="24"/>
          <w:szCs w:val="24"/>
        </w:rPr>
        <w:t>系、教研室（组）</w:t>
      </w:r>
      <w:r>
        <w:rPr>
          <w:rFonts w:ascii="宋体" w:hAnsi="宋体" w:eastAsia="宋体" w:cs="宋体"/>
          <w:kern w:val="0"/>
          <w:sz w:val="24"/>
          <w:szCs w:val="24"/>
        </w:rPr>
        <w:t>做好参赛教师遴选和参赛组织工作。</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一、指导思想</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深入贯彻落实《国家职业教育改革实施方案》，坚持“以赛促教、以赛促学，以赛促改、以赛促建”的总体思路，引导学校和教师以立德树人为根本任务，推进“三全育人”，落实“课程思政”要求；引导学校师生更好适应疫情防控常态化条件下，线上线下混合式教学的需要，持续推进国家教学标准落地，确保人才培养质量稳步提高；引导持续深化教师、教材、教法“三教改革”，促进育训结合、书证融通；以高素质教师队伍建设为着力点，推进高水平、结构化教师教学团队在信息技术应用、团队协作等方面的水平，构建职业教育教学质量持续改进的良好生态。</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二、比赛要求</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重点考察教学团队（</w:t>
      </w:r>
      <w:r>
        <w:rPr>
          <w:rFonts w:ascii="宋体" w:hAnsi="宋体" w:eastAsia="宋体" w:cs="宋体"/>
          <w:kern w:val="0"/>
          <w:sz w:val="24"/>
          <w:szCs w:val="24"/>
        </w:rPr>
        <w:t>2-</w:t>
      </w:r>
      <w:r>
        <w:rPr>
          <w:rFonts w:hint="eastAsia" w:ascii="宋体" w:hAnsi="宋体" w:eastAsia="宋体" w:cs="宋体"/>
          <w:kern w:val="0"/>
          <w:sz w:val="24"/>
          <w:szCs w:val="24"/>
        </w:rPr>
        <w:t>4</w:t>
      </w:r>
      <w:r>
        <w:rPr>
          <w:rFonts w:ascii="宋体" w:hAnsi="宋体" w:eastAsia="宋体" w:cs="宋体"/>
          <w:kern w:val="0"/>
          <w:sz w:val="24"/>
          <w:szCs w:val="24"/>
        </w:rPr>
        <w:t>人）针对某门课程中部分教学内容完成教学设计、实施课堂教学、评价目标达成、进行反思改进的能力。</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教学团队应落实职业教育国家教学标准，对接职业标准（规范），依据学校专业人才培养方案和实施性课程标准，选取参赛教学内容，进行学情分析，确定教学目标，优化教学过程，合理运用技术、方法和资源等组织课堂教学，进行教学考核与评价，做出教学反思与诊改。课堂教学实施应注重实效性，突出教学重难点的解决方法，实现师生、生生的全面良性互动，关注教与学全过程的信息采集，并根据反映出的问题及时调整教学策略。实训教学内容应基于真实工作任务、项目及工作流程、过程等，注重利用虚拟仿真实训资源解决技术技能培养中的重点难点问题，注重通过教师规范操作与有效示范培育精益求精、追求卓越等职业精神。</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教学团队要坚持把立德树人作为中心环节，推进全员全过程全方位“三全育人”，实现思想政治教育与技术技能培养的有机统一；要加强劳动教育，弘扬劳动精神，教育引导学生崇尚劳动、尊重劳动；要推进信息技术与教育教学深度融合，创新教学方式方法、学习支持环境、服务供给模式，实现因材施教，为个性化学习提供支撑。</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三、比赛内容及组别</w:t>
      </w:r>
    </w:p>
    <w:p>
      <w:pPr>
        <w:widowControl/>
        <w:spacing w:line="540" w:lineRule="atLeast"/>
        <w:ind w:firstLine="480"/>
        <w:jc w:val="left"/>
        <w:rPr>
          <w:rFonts w:ascii="宋体" w:hAnsi="宋体" w:eastAsia="宋体" w:cs="宋体"/>
          <w:kern w:val="0"/>
          <w:sz w:val="24"/>
          <w:szCs w:val="24"/>
        </w:rPr>
      </w:pPr>
      <w:r>
        <w:rPr>
          <w:rFonts w:ascii="宋体" w:hAnsi="宋体" w:eastAsia="宋体" w:cs="宋体"/>
          <w:kern w:val="0"/>
          <w:sz w:val="24"/>
          <w:szCs w:val="24"/>
        </w:rPr>
        <w:t>1.公共基础课程</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比赛内容为教育部规定开设的公共基础课程中（含必修课程、选修课程）不少</w:t>
      </w:r>
      <w:r>
        <w:rPr>
          <w:rFonts w:hint="eastAsia" w:ascii="宋体" w:hAnsi="宋体" w:eastAsia="宋体" w:cs="宋体"/>
          <w:color w:val="000000" w:themeColor="text1"/>
          <w:kern w:val="0"/>
          <w:sz w:val="24"/>
          <w:szCs w:val="24"/>
          <w14:textFill>
            <w14:solidFill>
              <w14:schemeClr w14:val="tx1"/>
            </w14:solidFill>
          </w14:textFill>
        </w:rPr>
        <w:t>于12</w:t>
      </w:r>
      <w:r>
        <w:rPr>
          <w:rFonts w:ascii="宋体" w:hAnsi="宋体" w:eastAsia="宋体" w:cs="宋体"/>
          <w:color w:val="000000" w:themeColor="text1"/>
          <w:kern w:val="0"/>
          <w:sz w:val="24"/>
          <w:szCs w:val="24"/>
          <w14:textFill>
            <w14:solidFill>
              <w14:schemeClr w14:val="tx1"/>
            </w14:solidFill>
          </w14:textFill>
        </w:rPr>
        <w:t>学时连续</w:t>
      </w:r>
      <w:r>
        <w:rPr>
          <w:rFonts w:ascii="宋体" w:hAnsi="宋体" w:eastAsia="宋体" w:cs="宋体"/>
          <w:kern w:val="0"/>
          <w:sz w:val="24"/>
          <w:szCs w:val="24"/>
        </w:rPr>
        <w:t>、完整的教学内容。应依据教育部最新印发的教学大纲或课程标准有关要求，进行教学设计与实施，并与职业教育国家规划教材以及省定教材有关内容相对应。其中，</w:t>
      </w:r>
      <w:r>
        <w:rPr>
          <w:rFonts w:hint="eastAsia" w:ascii="宋体" w:hAnsi="宋体" w:eastAsia="宋体" w:cs="宋体"/>
          <w:kern w:val="0"/>
          <w:sz w:val="24"/>
          <w:szCs w:val="24"/>
        </w:rPr>
        <w:t>参考《</w:t>
      </w:r>
      <w:r>
        <w:rPr>
          <w:rFonts w:ascii="宋体" w:hAnsi="宋体" w:eastAsia="宋体" w:cs="宋体"/>
          <w:kern w:val="0"/>
          <w:sz w:val="24"/>
          <w:szCs w:val="24"/>
        </w:rPr>
        <w:t>20</w:t>
      </w:r>
      <w:r>
        <w:rPr>
          <w:rFonts w:hint="eastAsia" w:ascii="宋体" w:hAnsi="宋体" w:eastAsia="宋体" w:cs="宋体"/>
          <w:kern w:val="0"/>
          <w:sz w:val="24"/>
          <w:szCs w:val="24"/>
        </w:rPr>
        <w:t>20</w:t>
      </w:r>
      <w:r>
        <w:rPr>
          <w:rFonts w:ascii="宋体" w:hAnsi="宋体" w:eastAsia="宋体" w:cs="宋体"/>
          <w:kern w:val="0"/>
          <w:sz w:val="24"/>
          <w:szCs w:val="24"/>
        </w:rPr>
        <w:t>年江苏省职业院校教学大赛方案</w:t>
      </w:r>
      <w:r>
        <w:rPr>
          <w:rFonts w:hint="eastAsia" w:ascii="宋体" w:hAnsi="宋体" w:eastAsia="宋体" w:cs="宋体"/>
          <w:kern w:val="0"/>
          <w:sz w:val="24"/>
          <w:szCs w:val="24"/>
        </w:rPr>
        <w:t>》</w:t>
      </w:r>
      <w:r>
        <w:rPr>
          <w:rFonts w:ascii="宋体" w:hAnsi="宋体" w:eastAsia="宋体" w:cs="宋体"/>
          <w:kern w:val="0"/>
          <w:sz w:val="24"/>
          <w:szCs w:val="24"/>
        </w:rPr>
        <w:t>，</w:t>
      </w:r>
      <w:r>
        <w:rPr>
          <w:rFonts w:hint="eastAsia" w:ascii="宋体" w:hAnsi="宋体" w:eastAsia="宋体" w:cs="宋体"/>
          <w:kern w:val="0"/>
          <w:sz w:val="24"/>
          <w:szCs w:val="24"/>
        </w:rPr>
        <w:t>本次比赛</w:t>
      </w:r>
      <w:r>
        <w:rPr>
          <w:rFonts w:ascii="宋体" w:hAnsi="宋体" w:eastAsia="宋体" w:cs="宋体"/>
          <w:kern w:val="0"/>
          <w:sz w:val="24"/>
          <w:szCs w:val="24"/>
        </w:rPr>
        <w:t>公共基础课程设德育、语文、数学、英语、体育、物理等6个组别。</w:t>
      </w:r>
    </w:p>
    <w:p>
      <w:pPr>
        <w:widowControl/>
        <w:spacing w:line="540" w:lineRule="atLeast"/>
        <w:ind w:firstLine="480"/>
        <w:jc w:val="left"/>
        <w:rPr>
          <w:rFonts w:ascii="宋体" w:hAnsi="宋体" w:eastAsia="宋体" w:cs="宋体"/>
          <w:kern w:val="0"/>
          <w:sz w:val="24"/>
          <w:szCs w:val="24"/>
        </w:rPr>
      </w:pPr>
      <w:r>
        <w:rPr>
          <w:rFonts w:ascii="宋体" w:hAnsi="宋体" w:eastAsia="宋体" w:cs="宋体"/>
          <w:kern w:val="0"/>
          <w:sz w:val="24"/>
          <w:szCs w:val="24"/>
        </w:rPr>
        <w:t>2.专业技能课程</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比赛内容应依据教育部最新印发的专业目录、专业教学标准，以及我省已颁布的中等职业教育和五年制高等职业教育指导性人才培养方案和专业核心课程标准，选择不同专业类的专业技能课程中不少于</w:t>
      </w:r>
      <w:r>
        <w:rPr>
          <w:rFonts w:hint="eastAsia" w:ascii="宋体" w:hAnsi="宋体" w:eastAsia="宋体" w:cs="宋体"/>
          <w:color w:val="000000" w:themeColor="text1"/>
          <w:kern w:val="0"/>
          <w:sz w:val="24"/>
          <w:szCs w:val="24"/>
          <w14:textFill>
            <w14:solidFill>
              <w14:schemeClr w14:val="tx1"/>
            </w14:solidFill>
          </w14:textFill>
        </w:rPr>
        <w:t>16</w:t>
      </w:r>
      <w:r>
        <w:rPr>
          <w:rFonts w:ascii="宋体" w:hAnsi="宋体" w:eastAsia="宋体" w:cs="宋体"/>
          <w:color w:val="000000" w:themeColor="text1"/>
          <w:kern w:val="0"/>
          <w:sz w:val="24"/>
          <w:szCs w:val="24"/>
          <w14:textFill>
            <w14:solidFill>
              <w14:schemeClr w14:val="tx1"/>
            </w14:solidFill>
          </w14:textFill>
        </w:rPr>
        <w:t>学时连</w:t>
      </w:r>
      <w:r>
        <w:rPr>
          <w:rFonts w:ascii="宋体" w:hAnsi="宋体" w:eastAsia="宋体" w:cs="宋体"/>
          <w:kern w:val="0"/>
          <w:sz w:val="24"/>
          <w:szCs w:val="24"/>
        </w:rPr>
        <w:t>续、完整的教学内容，包括专业（群）顶岗实习标准中的实习项目工作任务。其中，</w:t>
      </w:r>
      <w:r>
        <w:rPr>
          <w:rFonts w:hint="eastAsia" w:ascii="宋体" w:hAnsi="宋体" w:eastAsia="宋体" w:cs="宋体"/>
          <w:kern w:val="0"/>
          <w:sz w:val="24"/>
          <w:szCs w:val="24"/>
        </w:rPr>
        <w:t>参考《</w:t>
      </w:r>
      <w:r>
        <w:rPr>
          <w:rFonts w:ascii="宋体" w:hAnsi="宋体" w:eastAsia="宋体" w:cs="宋体"/>
          <w:kern w:val="0"/>
          <w:sz w:val="24"/>
          <w:szCs w:val="24"/>
        </w:rPr>
        <w:t>2019年江苏省职业院校教学大赛方案</w:t>
      </w:r>
      <w:r>
        <w:rPr>
          <w:rFonts w:hint="eastAsia" w:ascii="宋体" w:hAnsi="宋体" w:eastAsia="宋体" w:cs="宋体"/>
          <w:kern w:val="0"/>
          <w:sz w:val="24"/>
          <w:szCs w:val="24"/>
        </w:rPr>
        <w:t>》</w:t>
      </w:r>
      <w:r>
        <w:rPr>
          <w:rFonts w:ascii="宋体" w:hAnsi="宋体" w:eastAsia="宋体" w:cs="宋体"/>
          <w:kern w:val="0"/>
          <w:sz w:val="24"/>
          <w:szCs w:val="24"/>
        </w:rPr>
        <w:t>，</w:t>
      </w:r>
      <w:r>
        <w:rPr>
          <w:rFonts w:hint="eastAsia" w:ascii="宋体" w:hAnsi="宋体" w:eastAsia="宋体" w:cs="宋体"/>
          <w:kern w:val="0"/>
          <w:sz w:val="24"/>
          <w:szCs w:val="24"/>
        </w:rPr>
        <w:t>本次比赛</w:t>
      </w:r>
      <w:r>
        <w:rPr>
          <w:rFonts w:ascii="宋体" w:hAnsi="宋体" w:eastAsia="宋体" w:cs="宋体"/>
          <w:kern w:val="0"/>
          <w:sz w:val="24"/>
          <w:szCs w:val="24"/>
        </w:rPr>
        <w:t>专业技能课程设</w:t>
      </w:r>
      <w:r>
        <w:rPr>
          <w:rFonts w:ascii="宋体" w:hAnsi="宋体" w:eastAsia="宋体" w:cs="宋体"/>
          <w:color w:val="000000" w:themeColor="text1"/>
          <w:kern w:val="0"/>
          <w:sz w:val="24"/>
          <w:szCs w:val="24"/>
          <w14:textFill>
            <w14:solidFill>
              <w14:schemeClr w14:val="tx1"/>
            </w14:solidFill>
          </w14:textFill>
        </w:rPr>
        <w:t>农林牧渔、</w:t>
      </w:r>
      <w:r>
        <w:rPr>
          <w:rFonts w:ascii="宋体" w:hAnsi="宋体" w:eastAsia="宋体" w:cs="宋体"/>
          <w:kern w:val="0"/>
          <w:sz w:val="24"/>
          <w:szCs w:val="24"/>
        </w:rPr>
        <w:t>土木水利、加工制造、轻纺食品、交通运输、信息技术（含信息技术类、计算机应用基础课程）、财经商贸、旅游服务、文化艺术与教育（含公共艺术课程、</w:t>
      </w:r>
      <w:r>
        <w:rPr>
          <w:rFonts w:hint="eastAsia" w:ascii="宋体" w:hAnsi="宋体" w:eastAsia="宋体" w:cs="宋体"/>
          <w:kern w:val="0"/>
          <w:sz w:val="24"/>
          <w:szCs w:val="24"/>
        </w:rPr>
        <w:t>文化艺术类、教育类）等</w:t>
      </w:r>
      <w:r>
        <w:rPr>
          <w:rFonts w:ascii="宋体" w:hAnsi="宋体" w:eastAsia="宋体" w:cs="宋体"/>
          <w:color w:val="000000" w:themeColor="text1"/>
          <w:kern w:val="0"/>
          <w:sz w:val="24"/>
          <w:szCs w:val="24"/>
          <w14:textFill>
            <w14:solidFill>
              <w14:schemeClr w14:val="tx1"/>
            </w14:solidFill>
          </w14:textFill>
        </w:rPr>
        <w:t>9个组</w:t>
      </w:r>
      <w:r>
        <w:rPr>
          <w:rFonts w:ascii="宋体" w:hAnsi="宋体" w:eastAsia="宋体" w:cs="宋体"/>
          <w:kern w:val="0"/>
          <w:sz w:val="24"/>
          <w:szCs w:val="24"/>
        </w:rPr>
        <w:t>别。</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四、比赛办法</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根据报名情况分为若干评审组。采取先网络初评后现场决赛的方式进行。</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b/>
          <w:bCs/>
          <w:color w:val="000000" w:themeColor="text1"/>
          <w:kern w:val="0"/>
          <w:sz w:val="24"/>
          <w:szCs w:val="24"/>
          <w14:textFill>
            <w14:solidFill>
              <w14:schemeClr w14:val="tx1"/>
            </w14:solidFill>
          </w14:textFill>
        </w:rPr>
        <w:t>网络初评</w:t>
      </w:r>
      <w:r>
        <w:rPr>
          <w:rFonts w:hint="eastAsia" w:ascii="宋体" w:hAnsi="宋体" w:eastAsia="宋体" w:cs="宋体"/>
          <w:kern w:val="0"/>
          <w:sz w:val="24"/>
          <w:szCs w:val="24"/>
        </w:rPr>
        <w:t>时，评审参赛作品材料，确定入围现场决赛的作品，初定拟获得三等奖的作品。</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b/>
          <w:bCs/>
          <w:color w:val="000000" w:themeColor="text1"/>
          <w:kern w:val="0"/>
          <w:sz w:val="24"/>
          <w:szCs w:val="24"/>
          <w14:textFill>
            <w14:solidFill>
              <w14:schemeClr w14:val="tx1"/>
            </w14:solidFill>
          </w14:textFill>
        </w:rPr>
        <w:t>现场决赛</w:t>
      </w:r>
      <w:r>
        <w:rPr>
          <w:rFonts w:hint="eastAsia" w:ascii="宋体" w:hAnsi="宋体" w:eastAsia="宋体" w:cs="宋体"/>
          <w:kern w:val="0"/>
          <w:sz w:val="24"/>
          <w:szCs w:val="24"/>
        </w:rPr>
        <w:t>时，教学团队介绍教学实施报告、针对抽选教案中的自选内容进行无学生教学展示、回答评委提问</w:t>
      </w:r>
      <w:r>
        <w:rPr>
          <w:rFonts w:ascii="宋体" w:hAnsi="宋体" w:eastAsia="宋体" w:cs="宋体"/>
          <w:kern w:val="0"/>
          <w:sz w:val="24"/>
          <w:szCs w:val="24"/>
        </w:rPr>
        <w:t>。</w:t>
      </w:r>
      <w:r>
        <w:rPr>
          <w:rFonts w:hint="eastAsia" w:ascii="宋体" w:hAnsi="宋体" w:eastAsia="宋体" w:cs="宋体"/>
          <w:kern w:val="0"/>
          <w:sz w:val="24"/>
          <w:szCs w:val="24"/>
        </w:rPr>
        <w:t>首先由团队中一位教师简要介绍教学实施报告的主要内容、创新特色；然后由另一位参赛教师针对所抽定的教案中的自选内容进行无学生教学展示（如，新知讲解、示范操作、学习结果分析、课堂教学小结等），教学展示应符合无学生教学情境。</w:t>
      </w:r>
    </w:p>
    <w:p>
      <w:pPr>
        <w:widowControl/>
        <w:spacing w:line="54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介绍教学实施报告时间不超过</w:t>
      </w:r>
      <w:r>
        <w:rPr>
          <w:rFonts w:ascii="宋体" w:hAnsi="宋体" w:eastAsia="宋体" w:cs="宋体"/>
          <w:kern w:val="0"/>
          <w:sz w:val="24"/>
          <w:szCs w:val="24"/>
        </w:rPr>
        <w:t>6分钟，无学生教学展示时间</w:t>
      </w:r>
      <w:r>
        <w:rPr>
          <w:rFonts w:hint="eastAsia" w:ascii="宋体" w:hAnsi="宋体" w:eastAsia="宋体" w:cs="宋体"/>
          <w:kern w:val="0"/>
          <w:sz w:val="24"/>
          <w:szCs w:val="24"/>
        </w:rPr>
        <w:t>6</w:t>
      </w:r>
      <w:r>
        <w:rPr>
          <w:rFonts w:ascii="宋体" w:hAnsi="宋体" w:eastAsia="宋体" w:cs="宋体"/>
          <w:kern w:val="0"/>
          <w:sz w:val="24"/>
          <w:szCs w:val="24"/>
        </w:rPr>
        <w:t>—</w:t>
      </w:r>
      <w:r>
        <w:rPr>
          <w:rFonts w:hint="eastAsia" w:ascii="宋体" w:hAnsi="宋体" w:eastAsia="宋体" w:cs="宋体"/>
          <w:kern w:val="0"/>
          <w:sz w:val="24"/>
          <w:szCs w:val="24"/>
        </w:rPr>
        <w:t>8</w:t>
      </w:r>
      <w:r>
        <w:rPr>
          <w:rFonts w:ascii="宋体" w:hAnsi="宋体" w:eastAsia="宋体" w:cs="宋体"/>
          <w:kern w:val="0"/>
          <w:sz w:val="24"/>
          <w:szCs w:val="24"/>
        </w:rPr>
        <w:t>分钟。</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答辩</w:t>
      </w:r>
      <w:r>
        <w:rPr>
          <w:rFonts w:hint="eastAsia" w:ascii="宋体" w:hAnsi="宋体" w:eastAsia="宋体" w:cs="宋体"/>
          <w:kern w:val="0"/>
          <w:sz w:val="24"/>
          <w:szCs w:val="24"/>
        </w:rPr>
        <w:t>时，评委针对参赛作品材料和现场展示提出问题</w:t>
      </w:r>
      <w:r>
        <w:rPr>
          <w:rFonts w:ascii="宋体" w:hAnsi="宋体" w:eastAsia="宋体" w:cs="宋体"/>
          <w:kern w:val="0"/>
          <w:sz w:val="24"/>
          <w:szCs w:val="24"/>
        </w:rPr>
        <w:t>，教学团队针对评委提问逐一回答并阐述个人观点（评委不再复述或解读、可以指定答题者），时间不超过</w:t>
      </w:r>
      <w:r>
        <w:rPr>
          <w:rFonts w:hint="eastAsia" w:ascii="宋体" w:hAnsi="宋体" w:eastAsia="宋体" w:cs="宋体"/>
          <w:kern w:val="0"/>
          <w:sz w:val="24"/>
          <w:szCs w:val="24"/>
        </w:rPr>
        <w:t>5</w:t>
      </w:r>
      <w:r>
        <w:rPr>
          <w:rFonts w:ascii="宋体" w:hAnsi="宋体" w:eastAsia="宋体" w:cs="宋体"/>
          <w:kern w:val="0"/>
          <w:sz w:val="24"/>
          <w:szCs w:val="24"/>
        </w:rPr>
        <w:t>分钟（含审题）。在时间允许的情况下，评委可以追问</w:t>
      </w:r>
      <w:r>
        <w:rPr>
          <w:rFonts w:hint="eastAsia" w:ascii="宋体" w:hAnsi="宋体" w:eastAsia="宋体" w:cs="宋体"/>
          <w:kern w:val="0"/>
          <w:sz w:val="24"/>
          <w:szCs w:val="24"/>
        </w:rPr>
        <w:t>。</w:t>
      </w:r>
    </w:p>
    <w:p>
      <w:pPr>
        <w:widowControl/>
        <w:spacing w:line="540" w:lineRule="atLeast"/>
        <w:ind w:firstLine="480"/>
        <w:jc w:val="left"/>
        <w:rPr>
          <w:rFonts w:ascii="宋体" w:hAnsi="宋体" w:eastAsia="宋体" w:cs="宋体"/>
          <w:kern w:val="0"/>
          <w:sz w:val="24"/>
          <w:szCs w:val="24"/>
        </w:rPr>
      </w:pPr>
      <w:r>
        <w:rPr>
          <w:rFonts w:ascii="宋体" w:hAnsi="宋体" w:eastAsia="宋体" w:cs="宋体"/>
          <w:kern w:val="0"/>
          <w:sz w:val="24"/>
          <w:szCs w:val="24"/>
        </w:rPr>
        <w:t>根据参赛作品材料评审、教学团队现场展示和答辩情况，确定比赛成绩。</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五、比赛材料</w:t>
      </w:r>
    </w:p>
    <w:p>
      <w:pPr>
        <w:widowControl/>
        <w:spacing w:line="540" w:lineRule="atLeast"/>
        <w:ind w:firstLine="48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网络初评阶段参赛材料包括</w:t>
      </w:r>
      <w:r>
        <w:rPr>
          <w:rFonts w:hint="eastAsia" w:ascii="宋体" w:hAnsi="宋体" w:eastAsia="宋体" w:cs="宋体"/>
          <w:color w:val="000000" w:themeColor="text1"/>
          <w:kern w:val="0"/>
          <w:sz w:val="24"/>
          <w:szCs w:val="24"/>
          <w14:textFill>
            <w14:solidFill>
              <w14:schemeClr w14:val="tx1"/>
            </w14:solidFill>
          </w14:textFill>
        </w:rPr>
        <w:t>报名表（见附件2）、参赛作品实际使用的教案和</w:t>
      </w:r>
      <w:r>
        <w:rPr>
          <w:rFonts w:ascii="宋体" w:hAnsi="宋体" w:eastAsia="宋体" w:cs="宋体"/>
          <w:color w:val="000000" w:themeColor="text1"/>
          <w:kern w:val="0"/>
          <w:sz w:val="24"/>
          <w:szCs w:val="24"/>
          <w14:textFill>
            <w14:solidFill>
              <w14:schemeClr w14:val="tx1"/>
            </w14:solidFill>
          </w14:textFill>
        </w:rPr>
        <w:t>教学实施报告</w:t>
      </w:r>
      <w:r>
        <w:rPr>
          <w:rFonts w:hint="eastAsia" w:ascii="宋体" w:hAnsi="宋体" w:eastAsia="宋体" w:cs="宋体"/>
          <w:color w:val="000000" w:themeColor="text1"/>
          <w:kern w:val="0"/>
          <w:sz w:val="24"/>
          <w:szCs w:val="24"/>
          <w14:textFill>
            <w14:solidFill>
              <w14:schemeClr w14:val="tx1"/>
            </w14:solidFill>
          </w14:textFill>
        </w:rPr>
        <w:t>。</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（一）参赛教案</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教学团队根据相应的专业人才培养方案和课程标准，选取该课程在一个学期中符合规定的教学任务作为参赛作品，撰写实际使用的教案。教案应包括授课信息、任务目标、学情分析、活动安排、课后反思等教学基本要素，设计合理、重点突出、规范完整、详略得当。每个参赛作品的全部教案合并为一个文件，以P</w:t>
      </w:r>
      <w:r>
        <w:rPr>
          <w:rFonts w:ascii="宋体" w:hAnsi="宋体" w:eastAsia="宋体" w:cs="宋体"/>
          <w:kern w:val="0"/>
          <w:sz w:val="24"/>
          <w:szCs w:val="24"/>
        </w:rPr>
        <w:t>DF</w:t>
      </w:r>
      <w:r>
        <w:rPr>
          <w:rFonts w:hint="eastAsia" w:ascii="宋体" w:hAnsi="宋体" w:eastAsia="宋体" w:cs="宋体"/>
          <w:kern w:val="0"/>
          <w:sz w:val="24"/>
          <w:szCs w:val="24"/>
        </w:rPr>
        <w:t>文件形式提交，大小不超过</w:t>
      </w:r>
      <w:r>
        <w:rPr>
          <w:rFonts w:ascii="宋体" w:hAnsi="宋体" w:eastAsia="宋体" w:cs="宋体"/>
          <w:kern w:val="0"/>
          <w:sz w:val="24"/>
          <w:szCs w:val="24"/>
        </w:rPr>
        <w:t>100M。</w:t>
      </w:r>
      <w:r>
        <w:rPr>
          <w:rFonts w:hint="eastAsia" w:ascii="宋体" w:hAnsi="宋体" w:eastAsia="宋体" w:cs="宋体"/>
          <w:kern w:val="0"/>
          <w:sz w:val="24"/>
          <w:szCs w:val="24"/>
        </w:rPr>
        <w:t>。</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（二）教学实施报告</w:t>
      </w:r>
    </w:p>
    <w:p>
      <w:pPr>
        <w:widowControl/>
        <w:spacing w:line="5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教学团队在完成教学设计和实施之后，撰写</w:t>
      </w:r>
      <w:r>
        <w:rPr>
          <w:rFonts w:ascii="宋体" w:hAnsi="宋体" w:eastAsia="宋体" w:cs="宋体"/>
          <w:kern w:val="0"/>
          <w:sz w:val="24"/>
          <w:szCs w:val="24"/>
        </w:rPr>
        <w:t>1份教学实施报告。报告应梳理总结参赛作品的整体教学设计、课堂教学实施成效、反思与改进等方面情况，突出重点和特色，可用图、表等对实施、成效加以佐证，字数不超过3000字。</w:t>
      </w:r>
    </w:p>
    <w:p>
      <w:pPr>
        <w:widowControl/>
        <w:spacing w:line="540" w:lineRule="atLeast"/>
        <w:ind w:firstLine="480"/>
        <w:rPr>
          <w:rFonts w:ascii="宋体" w:hAnsi="宋体" w:eastAsia="宋体" w:cs="宋体"/>
          <w:kern w:val="0"/>
          <w:sz w:val="24"/>
          <w:szCs w:val="24"/>
        </w:rPr>
      </w:pPr>
      <w:r>
        <w:rPr>
          <w:rFonts w:hint="eastAsia" w:ascii="宋体" w:hAnsi="宋体" w:eastAsia="宋体" w:cs="宋体"/>
          <w:kern w:val="0"/>
          <w:sz w:val="24"/>
          <w:szCs w:val="24"/>
        </w:rPr>
        <w:t>六</w:t>
      </w:r>
      <w:r>
        <w:rPr>
          <w:rFonts w:ascii="宋体" w:hAnsi="宋体" w:eastAsia="宋体" w:cs="宋体"/>
          <w:kern w:val="0"/>
          <w:sz w:val="24"/>
          <w:szCs w:val="24"/>
        </w:rPr>
        <w:t>、报名要求</w:t>
      </w:r>
    </w:p>
    <w:p>
      <w:pPr>
        <w:widowControl/>
        <w:spacing w:line="540" w:lineRule="atLeast"/>
        <w:ind w:firstLine="480"/>
        <w:rPr>
          <w:rFonts w:ascii="宋体" w:hAnsi="宋体" w:eastAsia="宋体" w:cs="宋体"/>
          <w:kern w:val="0"/>
          <w:sz w:val="24"/>
          <w:szCs w:val="24"/>
        </w:rPr>
      </w:pPr>
      <w:r>
        <w:rPr>
          <w:rFonts w:ascii="宋体" w:hAnsi="宋体" w:eastAsia="宋体" w:cs="宋体"/>
          <w:kern w:val="0"/>
          <w:sz w:val="24"/>
          <w:szCs w:val="24"/>
        </w:rPr>
        <w:t>（一）报名方式</w:t>
      </w:r>
    </w:p>
    <w:p>
      <w:pPr>
        <w:widowControl/>
        <w:spacing w:line="540" w:lineRule="atLeast"/>
        <w:ind w:firstLine="48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以教研室（组）推荐和自主报名相结合的形式，以教研室（组）为单位组织报名。</w:t>
      </w:r>
      <w:r>
        <w:rPr>
          <w:rFonts w:hint="eastAsia" w:ascii="宋体" w:hAnsi="宋体" w:eastAsia="宋体" w:cs="宋体"/>
          <w:color w:val="000000" w:themeColor="text1"/>
          <w:kern w:val="0"/>
          <w:sz w:val="24"/>
          <w:szCs w:val="24"/>
          <w14:textFill>
            <w14:solidFill>
              <w14:schemeClr w14:val="tx1"/>
            </w14:solidFill>
          </w14:textFill>
        </w:rPr>
        <w:t>每个教研组至少报1个作品（2</w:t>
      </w:r>
      <w:r>
        <w:rPr>
          <w:rFonts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人以上的教研室报2个作品）。</w:t>
      </w:r>
    </w:p>
    <w:p>
      <w:pPr>
        <w:widowControl/>
        <w:spacing w:line="540" w:lineRule="atLeast"/>
        <w:ind w:firstLine="480"/>
        <w:rPr>
          <w:rFonts w:ascii="宋体" w:hAnsi="宋体" w:eastAsia="宋体" w:cs="宋体"/>
          <w:kern w:val="0"/>
          <w:sz w:val="24"/>
          <w:szCs w:val="24"/>
        </w:rPr>
      </w:pPr>
      <w:r>
        <w:rPr>
          <w:rFonts w:hint="eastAsia" w:ascii="宋体" w:hAnsi="宋体" w:eastAsia="宋体" w:cs="宋体"/>
          <w:kern w:val="0"/>
          <w:sz w:val="24"/>
          <w:szCs w:val="24"/>
        </w:rPr>
        <w:t>（二）时间安排</w:t>
      </w:r>
    </w:p>
    <w:p>
      <w:pPr>
        <w:widowControl/>
        <w:spacing w:line="540" w:lineRule="atLeast"/>
        <w:ind w:firstLine="480"/>
        <w:rPr>
          <w:rFonts w:ascii="宋体" w:hAnsi="宋体" w:eastAsia="宋体" w:cs="宋体"/>
          <w:kern w:val="0"/>
          <w:sz w:val="24"/>
          <w:szCs w:val="24"/>
        </w:rPr>
      </w:pPr>
      <w:r>
        <w:rPr>
          <w:rFonts w:hint="eastAsia" w:ascii="宋体" w:hAnsi="宋体" w:eastAsia="宋体" w:cs="宋体"/>
          <w:kern w:val="0"/>
          <w:sz w:val="24"/>
          <w:szCs w:val="24"/>
        </w:rPr>
        <w:t>报名时间：教研组在2月28日前将报名表（附件1）上传“教学科研管理群”。</w:t>
      </w:r>
    </w:p>
    <w:p>
      <w:pPr>
        <w:widowControl/>
        <w:spacing w:line="540" w:lineRule="atLeast"/>
        <w:ind w:firstLine="480"/>
        <w:rPr>
          <w:rFonts w:ascii="宋体" w:hAnsi="宋体" w:eastAsia="宋体" w:cs="宋体"/>
          <w:kern w:val="0"/>
          <w:sz w:val="24"/>
          <w:szCs w:val="24"/>
        </w:rPr>
      </w:pPr>
      <w:r>
        <w:rPr>
          <w:rFonts w:hint="eastAsia" w:ascii="宋体" w:hAnsi="宋体" w:eastAsia="宋体" w:cs="宋体"/>
          <w:kern w:val="0"/>
          <w:sz w:val="24"/>
          <w:szCs w:val="24"/>
        </w:rPr>
        <w:t>网络初评材料上交时间：各参赛团队于</w:t>
      </w:r>
      <w:r>
        <w:rPr>
          <w:rFonts w:hint="eastAsia" w:ascii="宋体" w:hAnsi="宋体" w:eastAsia="宋体" w:cs="宋体"/>
          <w:b/>
          <w:bCs/>
          <w:color w:val="000000" w:themeColor="text1"/>
          <w:kern w:val="0"/>
          <w:sz w:val="24"/>
          <w:szCs w:val="24"/>
          <w14:textFill>
            <w14:solidFill>
              <w14:schemeClr w14:val="tx1"/>
            </w14:solidFill>
          </w14:textFill>
        </w:rPr>
        <w:t>3月12日</w:t>
      </w:r>
      <w:r>
        <w:rPr>
          <w:rFonts w:hint="eastAsia" w:ascii="宋体" w:hAnsi="宋体" w:eastAsia="宋体" w:cs="宋体"/>
          <w:kern w:val="0"/>
          <w:sz w:val="24"/>
          <w:szCs w:val="24"/>
        </w:rPr>
        <w:t>前将参赛作品发送给教学科研处奚萍。</w:t>
      </w:r>
    </w:p>
    <w:p>
      <w:pPr>
        <w:widowControl/>
        <w:spacing w:line="540" w:lineRule="atLeast"/>
        <w:ind w:firstLine="480"/>
        <w:rPr>
          <w:rFonts w:ascii="宋体" w:hAnsi="宋体" w:eastAsia="宋体" w:cs="宋体"/>
          <w:kern w:val="0"/>
          <w:sz w:val="24"/>
          <w:szCs w:val="24"/>
        </w:rPr>
      </w:pPr>
      <w:r>
        <w:rPr>
          <w:rFonts w:hint="eastAsia" w:ascii="宋体" w:hAnsi="宋体" w:eastAsia="宋体" w:cs="宋体"/>
          <w:kern w:val="0"/>
          <w:sz w:val="24"/>
          <w:szCs w:val="24"/>
        </w:rPr>
        <w:t>七</w:t>
      </w:r>
      <w:r>
        <w:rPr>
          <w:rFonts w:ascii="宋体" w:hAnsi="宋体" w:eastAsia="宋体" w:cs="宋体"/>
          <w:kern w:val="0"/>
          <w:sz w:val="24"/>
          <w:szCs w:val="24"/>
        </w:rPr>
        <w:t>、奖项设置</w:t>
      </w:r>
    </w:p>
    <w:p>
      <w:pPr>
        <w:widowControl/>
        <w:spacing w:line="540" w:lineRule="atLeast"/>
        <w:ind w:firstLine="480"/>
        <w:rPr>
          <w:rFonts w:ascii="宋体" w:hAnsi="宋体" w:eastAsia="宋体" w:cs="宋体"/>
          <w:kern w:val="0"/>
          <w:sz w:val="24"/>
          <w:szCs w:val="24"/>
        </w:rPr>
      </w:pPr>
      <w:r>
        <w:rPr>
          <w:rFonts w:ascii="宋体" w:hAnsi="宋体" w:eastAsia="宋体" w:cs="宋体"/>
          <w:kern w:val="0"/>
          <w:sz w:val="24"/>
          <w:szCs w:val="24"/>
        </w:rPr>
        <w:t>大赛按</w:t>
      </w:r>
      <w:r>
        <w:rPr>
          <w:rFonts w:hint="eastAsia" w:ascii="宋体" w:hAnsi="宋体" w:eastAsia="宋体" w:cs="宋体"/>
          <w:kern w:val="0"/>
          <w:sz w:val="24"/>
          <w:szCs w:val="24"/>
        </w:rPr>
        <w:t>公共基础课程、专业技能课程</w:t>
      </w:r>
      <w:r>
        <w:rPr>
          <w:rFonts w:ascii="宋体" w:hAnsi="宋体" w:eastAsia="宋体" w:cs="宋体"/>
          <w:kern w:val="0"/>
          <w:sz w:val="24"/>
          <w:szCs w:val="24"/>
        </w:rPr>
        <w:t>分别设奖，一等奖占参赛总数的10%，二等奖占参赛总数的20%，三等奖占参赛总数的30%。</w:t>
      </w:r>
    </w:p>
    <w:p>
      <w:pPr>
        <w:widowControl/>
        <w:spacing w:line="540" w:lineRule="atLeast"/>
        <w:ind w:firstLine="480"/>
        <w:rPr>
          <w:rFonts w:ascii="宋体" w:hAnsi="宋体" w:eastAsia="宋体" w:cs="宋体"/>
          <w:kern w:val="0"/>
          <w:sz w:val="24"/>
          <w:szCs w:val="24"/>
        </w:rPr>
      </w:pPr>
    </w:p>
    <w:p>
      <w:pPr>
        <w:widowControl/>
        <w:spacing w:line="540" w:lineRule="atLeast"/>
        <w:ind w:firstLine="480"/>
        <w:rPr>
          <w:rFonts w:ascii="宋体" w:hAnsi="宋体" w:eastAsia="宋体" w:cs="宋体"/>
          <w:kern w:val="0"/>
          <w:sz w:val="24"/>
          <w:szCs w:val="24"/>
        </w:rPr>
      </w:pPr>
    </w:p>
    <w:p>
      <w:pPr>
        <w:widowControl/>
        <w:spacing w:line="540" w:lineRule="atLeast"/>
        <w:ind w:firstLine="480"/>
        <w:jc w:val="right"/>
        <w:rPr>
          <w:rFonts w:ascii="宋体" w:hAnsi="宋体" w:eastAsia="宋体" w:cs="宋体"/>
          <w:kern w:val="0"/>
          <w:sz w:val="24"/>
          <w:szCs w:val="24"/>
        </w:rPr>
      </w:pPr>
      <w:r>
        <w:rPr>
          <w:rFonts w:hint="eastAsia" w:ascii="宋体" w:hAnsi="宋体" w:eastAsia="宋体" w:cs="宋体"/>
          <w:kern w:val="0"/>
          <w:sz w:val="24"/>
          <w:szCs w:val="24"/>
        </w:rPr>
        <w:t>江苏省金坛中等专业学校</w:t>
      </w:r>
    </w:p>
    <w:p>
      <w:pPr>
        <w:widowControl/>
        <w:spacing w:line="540" w:lineRule="atLeast"/>
        <w:ind w:firstLine="480"/>
        <w:jc w:val="right"/>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1</w:t>
      </w:r>
      <w:r>
        <w:rPr>
          <w:rFonts w:ascii="宋体" w:hAnsi="宋体" w:eastAsia="宋体" w:cs="宋体"/>
          <w:kern w:val="0"/>
          <w:sz w:val="24"/>
          <w:szCs w:val="24"/>
        </w:rPr>
        <w:t>年</w:t>
      </w:r>
      <w:r>
        <w:rPr>
          <w:rFonts w:hint="eastAsia" w:ascii="宋体" w:hAnsi="宋体" w:eastAsia="宋体" w:cs="宋体"/>
          <w:kern w:val="0"/>
          <w:sz w:val="24"/>
          <w:szCs w:val="24"/>
        </w:rPr>
        <w:t>2</w:t>
      </w:r>
      <w:r>
        <w:rPr>
          <w:rFonts w:ascii="宋体" w:hAnsi="宋体" w:eastAsia="宋体" w:cs="宋体"/>
          <w:kern w:val="0"/>
          <w:sz w:val="24"/>
          <w:szCs w:val="24"/>
        </w:rPr>
        <w:t>月</w:t>
      </w:r>
      <w:r>
        <w:rPr>
          <w:rFonts w:hint="eastAsia" w:ascii="宋体" w:hAnsi="宋体" w:eastAsia="宋体" w:cs="宋体"/>
          <w:kern w:val="0"/>
          <w:sz w:val="24"/>
          <w:szCs w:val="24"/>
        </w:rPr>
        <w:t>20</w:t>
      </w:r>
      <w:r>
        <w:rPr>
          <w:rFonts w:ascii="宋体" w:hAnsi="宋体" w:eastAsia="宋体" w:cs="宋体"/>
          <w:kern w:val="0"/>
          <w:sz w:val="24"/>
          <w:szCs w:val="24"/>
        </w:rPr>
        <w:t>日</w:t>
      </w:r>
    </w:p>
    <w:p>
      <w:pPr>
        <w:widowControl/>
        <w:spacing w:line="540" w:lineRule="atLeast"/>
        <w:rPr>
          <w:rFonts w:ascii="宋体" w:hAnsi="宋体" w:eastAsia="宋体" w:cs="宋体"/>
          <w:kern w:val="0"/>
          <w:sz w:val="24"/>
          <w:szCs w:val="24"/>
        </w:rPr>
      </w:pPr>
    </w:p>
    <w:p>
      <w:pPr>
        <w:widowControl/>
        <w:spacing w:line="540" w:lineRule="atLeast"/>
        <w:rPr>
          <w:rFonts w:ascii="宋体" w:hAnsi="宋体" w:eastAsia="宋体" w:cs="宋体"/>
          <w:kern w:val="0"/>
          <w:sz w:val="24"/>
          <w:szCs w:val="24"/>
        </w:rPr>
      </w:pPr>
    </w:p>
    <w:p>
      <w:pPr>
        <w:widowControl/>
        <w:spacing w:line="540" w:lineRule="atLeast"/>
        <w:rPr>
          <w:rFonts w:ascii="宋体" w:hAnsi="宋体" w:eastAsia="宋体" w:cs="宋体"/>
          <w:kern w:val="0"/>
          <w:sz w:val="24"/>
          <w:szCs w:val="24"/>
        </w:rPr>
      </w:pPr>
    </w:p>
    <w:p>
      <w:pPr>
        <w:widowControl/>
        <w:spacing w:line="540" w:lineRule="atLeast"/>
        <w:rPr>
          <w:rFonts w:ascii="宋体" w:hAnsi="宋体" w:eastAsia="宋体" w:cs="宋体"/>
          <w:kern w:val="0"/>
          <w:sz w:val="24"/>
          <w:szCs w:val="24"/>
        </w:rPr>
      </w:pPr>
    </w:p>
    <w:p>
      <w:pPr>
        <w:widowControl/>
        <w:spacing w:line="540" w:lineRule="atLeast"/>
        <w:rPr>
          <w:rFonts w:ascii="宋体" w:hAnsi="宋体" w:eastAsia="宋体" w:cs="宋体"/>
          <w:kern w:val="0"/>
          <w:sz w:val="24"/>
          <w:szCs w:val="24"/>
        </w:rPr>
      </w:pPr>
    </w:p>
    <w:p>
      <w:pPr>
        <w:widowControl/>
        <w:spacing w:line="540" w:lineRule="atLeast"/>
        <w:rPr>
          <w:rFonts w:ascii="宋体" w:hAnsi="宋体" w:eastAsia="宋体" w:cs="宋体"/>
          <w:kern w:val="0"/>
          <w:sz w:val="24"/>
          <w:szCs w:val="24"/>
        </w:rPr>
      </w:pPr>
    </w:p>
    <w:p>
      <w:pPr>
        <w:widowControl/>
        <w:spacing w:line="540" w:lineRule="atLeast"/>
        <w:rPr>
          <w:rFonts w:hint="eastAsia" w:ascii="宋体" w:hAnsi="宋体" w:eastAsia="宋体" w:cs="宋体"/>
          <w:kern w:val="0"/>
          <w:sz w:val="24"/>
          <w:szCs w:val="24"/>
        </w:rPr>
      </w:pPr>
    </w:p>
    <w:p>
      <w:pPr>
        <w:widowControl/>
        <w:spacing w:line="540" w:lineRule="atLeast"/>
        <w:rPr>
          <w:rFonts w:hint="eastAsia" w:ascii="宋体" w:hAnsi="宋体" w:eastAsia="宋体" w:cs="宋体"/>
          <w:kern w:val="0"/>
          <w:sz w:val="24"/>
          <w:szCs w:val="24"/>
        </w:rPr>
      </w:pPr>
    </w:p>
    <w:p>
      <w:pPr>
        <w:widowControl/>
        <w:spacing w:line="540" w:lineRule="atLeast"/>
        <w:rPr>
          <w:rFonts w:hint="eastAsia" w:ascii="宋体" w:hAnsi="宋体" w:eastAsia="宋体" w:cs="宋体"/>
          <w:kern w:val="0"/>
          <w:sz w:val="24"/>
          <w:szCs w:val="24"/>
        </w:rPr>
      </w:pPr>
      <w:bookmarkStart w:id="0" w:name="_GoBack"/>
      <w:bookmarkEnd w:id="0"/>
    </w:p>
    <w:p>
      <w:pPr>
        <w:widowControl/>
        <w:spacing w:line="540" w:lineRule="atLeast"/>
        <w:rPr>
          <w:rFonts w:ascii="宋体" w:hAnsi="宋体" w:eastAsia="宋体" w:cs="宋体"/>
          <w:kern w:val="0"/>
          <w:sz w:val="24"/>
          <w:szCs w:val="24"/>
        </w:rPr>
      </w:pPr>
      <w:r>
        <w:rPr>
          <w:rFonts w:hint="eastAsia" w:ascii="宋体" w:hAnsi="宋体" w:eastAsia="宋体" w:cs="宋体"/>
          <w:kern w:val="0"/>
          <w:sz w:val="24"/>
          <w:szCs w:val="24"/>
        </w:rPr>
        <w:t>附件1：</w:t>
      </w:r>
    </w:p>
    <w:p>
      <w:pPr>
        <w:widowControl/>
        <w:spacing w:line="540" w:lineRule="atLeast"/>
        <w:jc w:val="center"/>
        <w:rPr>
          <w:rFonts w:ascii="宋体" w:hAnsi="宋体" w:eastAsia="宋体" w:cs="宋体"/>
          <w:kern w:val="0"/>
          <w:sz w:val="24"/>
          <w:szCs w:val="24"/>
        </w:rPr>
      </w:pPr>
      <w:r>
        <w:rPr>
          <w:rFonts w:hint="eastAsia" w:ascii="宋体" w:hAnsi="宋体" w:eastAsia="宋体" w:cs="宋体"/>
          <w:kern w:val="0"/>
          <w:sz w:val="24"/>
          <w:szCs w:val="24"/>
        </w:rPr>
        <w:t>省金坛中专教学大赛报名表</w:t>
      </w:r>
    </w:p>
    <w:p>
      <w:pPr>
        <w:widowControl/>
        <w:spacing w:line="540" w:lineRule="atLeast"/>
        <w:rPr>
          <w:rFonts w:ascii="宋体" w:hAnsi="宋体" w:eastAsia="宋体" w:cs="宋体"/>
          <w:kern w:val="0"/>
          <w:sz w:val="24"/>
          <w:szCs w:val="24"/>
        </w:rPr>
      </w:pPr>
      <w:r>
        <w:rPr>
          <w:rFonts w:hint="eastAsia" w:ascii="宋体" w:hAnsi="宋体" w:eastAsia="宋体" w:cs="宋体"/>
          <w:kern w:val="0"/>
          <w:sz w:val="24"/>
          <w:szCs w:val="24"/>
        </w:rPr>
        <w:t>教研组：</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p>
    <w:tbl>
      <w:tblPr>
        <w:tblStyle w:val="6"/>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992"/>
        <w:gridCol w:w="851"/>
        <w:gridCol w:w="1134"/>
        <w:gridCol w:w="2126"/>
        <w:gridCol w:w="113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序号</w:t>
            </w:r>
          </w:p>
        </w:tc>
        <w:tc>
          <w:tcPr>
            <w:tcW w:w="992" w:type="dxa"/>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姓名</w:t>
            </w:r>
          </w:p>
        </w:tc>
        <w:tc>
          <w:tcPr>
            <w:tcW w:w="851" w:type="dxa"/>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系部</w:t>
            </w:r>
          </w:p>
        </w:tc>
        <w:tc>
          <w:tcPr>
            <w:tcW w:w="1134" w:type="dxa"/>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课程</w:t>
            </w:r>
          </w:p>
        </w:tc>
        <w:tc>
          <w:tcPr>
            <w:tcW w:w="2126" w:type="dxa"/>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公共课程或专业名称</w:t>
            </w:r>
          </w:p>
        </w:tc>
        <w:tc>
          <w:tcPr>
            <w:tcW w:w="1134" w:type="dxa"/>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参赛项目</w:t>
            </w:r>
          </w:p>
        </w:tc>
        <w:tc>
          <w:tcPr>
            <w:tcW w:w="2551" w:type="dxa"/>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参赛内容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1</w:t>
            </w:r>
          </w:p>
        </w:tc>
        <w:tc>
          <w:tcPr>
            <w:tcW w:w="992" w:type="dxa"/>
            <w:vAlign w:val="center"/>
          </w:tcPr>
          <w:p>
            <w:pPr>
              <w:widowControl/>
              <w:spacing w:line="240" w:lineRule="exact"/>
              <w:jc w:val="center"/>
              <w:rPr>
                <w:rFonts w:ascii="黑体" w:hAnsi="黑体" w:eastAsia="黑体" w:cs="宋体"/>
                <w:kern w:val="0"/>
                <w:szCs w:val="21"/>
              </w:rPr>
            </w:pPr>
          </w:p>
        </w:tc>
        <w:tc>
          <w:tcPr>
            <w:tcW w:w="851" w:type="dxa"/>
            <w:vAlign w:val="center"/>
          </w:tcPr>
          <w:p>
            <w:pPr>
              <w:widowControl/>
              <w:spacing w:line="240" w:lineRule="exact"/>
              <w:jc w:val="center"/>
              <w:rPr>
                <w:rFonts w:ascii="黑体" w:hAnsi="黑体" w:eastAsia="黑体" w:cs="宋体"/>
                <w:kern w:val="0"/>
                <w:szCs w:val="21"/>
              </w:rPr>
            </w:pPr>
          </w:p>
        </w:tc>
        <w:tc>
          <w:tcPr>
            <w:tcW w:w="1134" w:type="dxa"/>
            <w:vAlign w:val="center"/>
          </w:tcPr>
          <w:p>
            <w:pPr>
              <w:widowControl/>
              <w:spacing w:line="240" w:lineRule="exact"/>
              <w:jc w:val="center"/>
              <w:rPr>
                <w:rFonts w:ascii="黑体" w:hAnsi="黑体" w:eastAsia="黑体" w:cs="宋体"/>
                <w:kern w:val="0"/>
                <w:szCs w:val="21"/>
              </w:rPr>
            </w:pPr>
          </w:p>
        </w:tc>
        <w:tc>
          <w:tcPr>
            <w:tcW w:w="2126" w:type="dxa"/>
            <w:vAlign w:val="center"/>
          </w:tcPr>
          <w:p>
            <w:pPr>
              <w:widowControl/>
              <w:spacing w:line="240" w:lineRule="exact"/>
              <w:jc w:val="center"/>
              <w:rPr>
                <w:rFonts w:ascii="黑体" w:hAnsi="黑体" w:eastAsia="黑体" w:cs="宋体"/>
                <w:kern w:val="0"/>
                <w:szCs w:val="21"/>
              </w:rPr>
            </w:pPr>
          </w:p>
        </w:tc>
        <w:tc>
          <w:tcPr>
            <w:tcW w:w="1134" w:type="dxa"/>
            <w:vAlign w:val="center"/>
          </w:tcPr>
          <w:p>
            <w:pPr>
              <w:widowControl/>
              <w:spacing w:line="240" w:lineRule="exact"/>
              <w:jc w:val="center"/>
              <w:rPr>
                <w:rFonts w:ascii="黑体" w:hAnsi="黑体" w:eastAsia="黑体" w:cs="宋体"/>
                <w:kern w:val="0"/>
                <w:szCs w:val="21"/>
              </w:rPr>
            </w:pPr>
          </w:p>
        </w:tc>
        <w:tc>
          <w:tcPr>
            <w:tcW w:w="2551" w:type="dxa"/>
            <w:vAlign w:val="center"/>
          </w:tcPr>
          <w:p>
            <w:pPr>
              <w:widowControl/>
              <w:spacing w:line="240" w:lineRule="exact"/>
              <w:jc w:val="center"/>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2</w:t>
            </w:r>
          </w:p>
        </w:tc>
        <w:tc>
          <w:tcPr>
            <w:tcW w:w="992" w:type="dxa"/>
            <w:vAlign w:val="center"/>
          </w:tcPr>
          <w:p>
            <w:pPr>
              <w:widowControl/>
              <w:spacing w:line="240" w:lineRule="exact"/>
              <w:jc w:val="center"/>
              <w:rPr>
                <w:rFonts w:ascii="黑体" w:hAnsi="黑体" w:eastAsia="黑体" w:cs="宋体"/>
                <w:kern w:val="0"/>
                <w:szCs w:val="21"/>
              </w:rPr>
            </w:pPr>
          </w:p>
        </w:tc>
        <w:tc>
          <w:tcPr>
            <w:tcW w:w="851" w:type="dxa"/>
            <w:vAlign w:val="center"/>
          </w:tcPr>
          <w:p>
            <w:pPr>
              <w:widowControl/>
              <w:spacing w:line="240" w:lineRule="exact"/>
              <w:jc w:val="center"/>
              <w:rPr>
                <w:rFonts w:ascii="黑体" w:hAnsi="黑体" w:eastAsia="黑体" w:cs="宋体"/>
                <w:kern w:val="0"/>
                <w:szCs w:val="21"/>
              </w:rPr>
            </w:pPr>
          </w:p>
        </w:tc>
        <w:tc>
          <w:tcPr>
            <w:tcW w:w="1134" w:type="dxa"/>
            <w:vAlign w:val="center"/>
          </w:tcPr>
          <w:p>
            <w:pPr>
              <w:widowControl/>
              <w:spacing w:line="240" w:lineRule="exact"/>
              <w:jc w:val="center"/>
              <w:rPr>
                <w:rFonts w:ascii="黑体" w:hAnsi="黑体" w:eastAsia="黑体" w:cs="宋体"/>
                <w:kern w:val="0"/>
                <w:szCs w:val="21"/>
              </w:rPr>
            </w:pPr>
          </w:p>
        </w:tc>
        <w:tc>
          <w:tcPr>
            <w:tcW w:w="2126" w:type="dxa"/>
            <w:vAlign w:val="center"/>
          </w:tcPr>
          <w:p>
            <w:pPr>
              <w:widowControl/>
              <w:spacing w:line="240" w:lineRule="exact"/>
              <w:jc w:val="center"/>
              <w:rPr>
                <w:rFonts w:ascii="黑体" w:hAnsi="黑体" w:eastAsia="黑体" w:cs="宋体"/>
                <w:kern w:val="0"/>
                <w:szCs w:val="21"/>
              </w:rPr>
            </w:pPr>
          </w:p>
        </w:tc>
        <w:tc>
          <w:tcPr>
            <w:tcW w:w="1134" w:type="dxa"/>
            <w:vAlign w:val="center"/>
          </w:tcPr>
          <w:p>
            <w:pPr>
              <w:widowControl/>
              <w:spacing w:line="240" w:lineRule="exact"/>
              <w:jc w:val="center"/>
              <w:rPr>
                <w:rFonts w:ascii="黑体" w:hAnsi="黑体" w:eastAsia="黑体" w:cs="宋体"/>
                <w:kern w:val="0"/>
                <w:szCs w:val="21"/>
              </w:rPr>
            </w:pPr>
          </w:p>
        </w:tc>
        <w:tc>
          <w:tcPr>
            <w:tcW w:w="2551" w:type="dxa"/>
            <w:vAlign w:val="center"/>
          </w:tcPr>
          <w:p>
            <w:pPr>
              <w:widowControl/>
              <w:spacing w:line="240" w:lineRule="exact"/>
              <w:jc w:val="center"/>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3</w:t>
            </w:r>
          </w:p>
        </w:tc>
        <w:tc>
          <w:tcPr>
            <w:tcW w:w="992" w:type="dxa"/>
            <w:vAlign w:val="center"/>
          </w:tcPr>
          <w:p>
            <w:pPr>
              <w:widowControl/>
              <w:spacing w:line="240" w:lineRule="exact"/>
              <w:jc w:val="center"/>
              <w:rPr>
                <w:rFonts w:ascii="黑体" w:hAnsi="黑体" w:eastAsia="黑体" w:cs="宋体"/>
                <w:kern w:val="0"/>
                <w:szCs w:val="21"/>
              </w:rPr>
            </w:pPr>
          </w:p>
        </w:tc>
        <w:tc>
          <w:tcPr>
            <w:tcW w:w="851" w:type="dxa"/>
            <w:vAlign w:val="center"/>
          </w:tcPr>
          <w:p>
            <w:pPr>
              <w:widowControl/>
              <w:spacing w:line="240" w:lineRule="exact"/>
              <w:jc w:val="center"/>
              <w:rPr>
                <w:rFonts w:ascii="黑体" w:hAnsi="黑体" w:eastAsia="黑体" w:cs="宋体"/>
                <w:kern w:val="0"/>
                <w:szCs w:val="21"/>
              </w:rPr>
            </w:pPr>
          </w:p>
        </w:tc>
        <w:tc>
          <w:tcPr>
            <w:tcW w:w="1134" w:type="dxa"/>
            <w:vAlign w:val="center"/>
          </w:tcPr>
          <w:p>
            <w:pPr>
              <w:widowControl/>
              <w:spacing w:line="240" w:lineRule="exact"/>
              <w:jc w:val="center"/>
              <w:rPr>
                <w:rFonts w:ascii="黑体" w:hAnsi="黑体" w:eastAsia="黑体" w:cs="宋体"/>
                <w:kern w:val="0"/>
                <w:szCs w:val="21"/>
              </w:rPr>
            </w:pPr>
          </w:p>
        </w:tc>
        <w:tc>
          <w:tcPr>
            <w:tcW w:w="2126" w:type="dxa"/>
            <w:vAlign w:val="center"/>
          </w:tcPr>
          <w:p>
            <w:pPr>
              <w:widowControl/>
              <w:spacing w:line="240" w:lineRule="exact"/>
              <w:jc w:val="center"/>
              <w:rPr>
                <w:rFonts w:ascii="黑体" w:hAnsi="黑体" w:eastAsia="黑体" w:cs="宋体"/>
                <w:kern w:val="0"/>
                <w:szCs w:val="21"/>
              </w:rPr>
            </w:pPr>
          </w:p>
        </w:tc>
        <w:tc>
          <w:tcPr>
            <w:tcW w:w="1134" w:type="dxa"/>
            <w:vAlign w:val="center"/>
          </w:tcPr>
          <w:p>
            <w:pPr>
              <w:widowControl/>
              <w:spacing w:line="240" w:lineRule="exact"/>
              <w:jc w:val="center"/>
              <w:rPr>
                <w:rFonts w:ascii="黑体" w:hAnsi="黑体" w:eastAsia="黑体" w:cs="宋体"/>
                <w:kern w:val="0"/>
                <w:szCs w:val="21"/>
              </w:rPr>
            </w:pPr>
          </w:p>
        </w:tc>
        <w:tc>
          <w:tcPr>
            <w:tcW w:w="2551" w:type="dxa"/>
            <w:vAlign w:val="center"/>
          </w:tcPr>
          <w:p>
            <w:pPr>
              <w:widowControl/>
              <w:spacing w:line="240" w:lineRule="exact"/>
              <w:jc w:val="center"/>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4</w:t>
            </w:r>
          </w:p>
        </w:tc>
        <w:tc>
          <w:tcPr>
            <w:tcW w:w="992" w:type="dxa"/>
            <w:vAlign w:val="center"/>
          </w:tcPr>
          <w:p>
            <w:pPr>
              <w:widowControl/>
              <w:spacing w:line="240" w:lineRule="exact"/>
              <w:jc w:val="center"/>
              <w:rPr>
                <w:rFonts w:ascii="黑体" w:hAnsi="黑体" w:eastAsia="黑体" w:cs="宋体"/>
                <w:kern w:val="0"/>
                <w:szCs w:val="21"/>
              </w:rPr>
            </w:pPr>
          </w:p>
        </w:tc>
        <w:tc>
          <w:tcPr>
            <w:tcW w:w="851" w:type="dxa"/>
            <w:vAlign w:val="center"/>
          </w:tcPr>
          <w:p>
            <w:pPr>
              <w:widowControl/>
              <w:spacing w:line="240" w:lineRule="exact"/>
              <w:jc w:val="center"/>
              <w:rPr>
                <w:rFonts w:ascii="黑体" w:hAnsi="黑体" w:eastAsia="黑体" w:cs="宋体"/>
                <w:kern w:val="0"/>
                <w:szCs w:val="21"/>
              </w:rPr>
            </w:pPr>
          </w:p>
        </w:tc>
        <w:tc>
          <w:tcPr>
            <w:tcW w:w="1134" w:type="dxa"/>
            <w:vAlign w:val="center"/>
          </w:tcPr>
          <w:p>
            <w:pPr>
              <w:widowControl/>
              <w:spacing w:line="240" w:lineRule="exact"/>
              <w:jc w:val="center"/>
              <w:rPr>
                <w:rFonts w:ascii="黑体" w:hAnsi="黑体" w:eastAsia="黑体" w:cs="宋体"/>
                <w:kern w:val="0"/>
                <w:szCs w:val="21"/>
              </w:rPr>
            </w:pPr>
          </w:p>
        </w:tc>
        <w:tc>
          <w:tcPr>
            <w:tcW w:w="2126" w:type="dxa"/>
            <w:vAlign w:val="center"/>
          </w:tcPr>
          <w:p>
            <w:pPr>
              <w:widowControl/>
              <w:spacing w:line="240" w:lineRule="exact"/>
              <w:jc w:val="center"/>
              <w:rPr>
                <w:rFonts w:ascii="黑体" w:hAnsi="黑体" w:eastAsia="黑体" w:cs="宋体"/>
                <w:kern w:val="0"/>
                <w:szCs w:val="21"/>
              </w:rPr>
            </w:pPr>
          </w:p>
        </w:tc>
        <w:tc>
          <w:tcPr>
            <w:tcW w:w="1134" w:type="dxa"/>
            <w:vAlign w:val="center"/>
          </w:tcPr>
          <w:p>
            <w:pPr>
              <w:widowControl/>
              <w:spacing w:line="240" w:lineRule="exact"/>
              <w:jc w:val="center"/>
              <w:rPr>
                <w:rFonts w:ascii="黑体" w:hAnsi="黑体" w:eastAsia="黑体" w:cs="宋体"/>
                <w:kern w:val="0"/>
                <w:szCs w:val="21"/>
              </w:rPr>
            </w:pPr>
          </w:p>
        </w:tc>
        <w:tc>
          <w:tcPr>
            <w:tcW w:w="2551" w:type="dxa"/>
            <w:vAlign w:val="center"/>
          </w:tcPr>
          <w:p>
            <w:pPr>
              <w:widowControl/>
              <w:spacing w:line="240" w:lineRule="exact"/>
              <w:jc w:val="center"/>
              <w:rPr>
                <w:rFonts w:ascii="黑体" w:hAnsi="黑体" w:eastAsia="黑体" w:cs="宋体"/>
                <w:kern w:val="0"/>
                <w:szCs w:val="21"/>
              </w:rPr>
            </w:pPr>
          </w:p>
        </w:tc>
      </w:tr>
    </w:tbl>
    <w:p>
      <w:pPr>
        <w:widowControl/>
        <w:spacing w:line="540" w:lineRule="atLeast"/>
        <w:rPr>
          <w:rFonts w:ascii="宋体" w:hAnsi="宋体" w:eastAsia="宋体" w:cs="宋体"/>
          <w:kern w:val="0"/>
          <w:sz w:val="24"/>
          <w:szCs w:val="24"/>
        </w:rPr>
      </w:pPr>
    </w:p>
    <w:p>
      <w:pPr>
        <w:widowControl/>
        <w:spacing w:line="540" w:lineRule="atLeast"/>
        <w:rPr>
          <w:rFonts w:ascii="宋体" w:hAnsi="宋体" w:eastAsia="宋体" w:cs="宋体"/>
          <w:kern w:val="0"/>
          <w:sz w:val="24"/>
          <w:szCs w:val="24"/>
        </w:rPr>
      </w:pPr>
      <w:r>
        <w:rPr>
          <w:rFonts w:hint="eastAsia" w:ascii="宋体" w:hAnsi="宋体" w:eastAsia="宋体" w:cs="宋体"/>
          <w:kern w:val="0"/>
          <w:sz w:val="24"/>
          <w:szCs w:val="24"/>
        </w:rPr>
        <w:t>附件2：</w:t>
      </w:r>
    </w:p>
    <w:p>
      <w:pPr>
        <w:widowControl/>
        <w:spacing w:line="540" w:lineRule="atLeast"/>
        <w:jc w:val="center"/>
        <w:rPr>
          <w:rFonts w:ascii="宋体" w:hAnsi="宋体" w:eastAsia="宋体" w:cs="宋体"/>
          <w:kern w:val="0"/>
          <w:sz w:val="28"/>
          <w:szCs w:val="28"/>
        </w:rPr>
      </w:pPr>
      <w:r>
        <w:rPr>
          <w:rFonts w:hint="eastAsia" w:ascii="宋体" w:hAnsi="宋体" w:eastAsia="宋体" w:cs="宋体"/>
          <w:kern w:val="0"/>
          <w:sz w:val="28"/>
          <w:szCs w:val="28"/>
        </w:rPr>
        <w:t>报名表（教师）</w:t>
      </w:r>
    </w:p>
    <w:tbl>
      <w:tblPr>
        <w:tblStyle w:val="6"/>
        <w:tblW w:w="935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2135"/>
        <w:gridCol w:w="2303"/>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vAlign w:val="center"/>
          </w:tcPr>
          <w:p>
            <w:pPr>
              <w:rPr>
                <w:sz w:val="24"/>
                <w:szCs w:val="24"/>
              </w:rPr>
            </w:pPr>
            <w:r>
              <w:rPr>
                <w:rFonts w:hint="eastAsia"/>
                <w:sz w:val="24"/>
                <w:szCs w:val="24"/>
              </w:rPr>
              <w:t>课程名称</w:t>
            </w:r>
          </w:p>
        </w:tc>
        <w:tc>
          <w:tcPr>
            <w:tcW w:w="7371" w:type="dxa"/>
            <w:gridSpan w:val="3"/>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vAlign w:val="center"/>
          </w:tcPr>
          <w:p>
            <w:pPr>
              <w:rPr>
                <w:sz w:val="24"/>
                <w:szCs w:val="24"/>
              </w:rPr>
            </w:pPr>
            <w:r>
              <w:rPr>
                <w:rFonts w:hint="eastAsia"/>
                <w:sz w:val="24"/>
                <w:szCs w:val="24"/>
              </w:rPr>
              <w:t>作品标题</w:t>
            </w:r>
          </w:p>
        </w:tc>
        <w:tc>
          <w:tcPr>
            <w:tcW w:w="7371" w:type="dxa"/>
            <w:gridSpan w:val="3"/>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vAlign w:val="center"/>
          </w:tcPr>
          <w:p>
            <w:pPr>
              <w:rPr>
                <w:sz w:val="24"/>
                <w:szCs w:val="24"/>
              </w:rPr>
            </w:pPr>
            <w:r>
              <w:rPr>
                <w:rFonts w:hint="eastAsia"/>
                <w:sz w:val="24"/>
                <w:szCs w:val="24"/>
              </w:rPr>
              <w:t>作者姓名</w:t>
            </w:r>
          </w:p>
        </w:tc>
        <w:tc>
          <w:tcPr>
            <w:tcW w:w="2135" w:type="dxa"/>
            <w:vAlign w:val="center"/>
          </w:tcPr>
          <w:p>
            <w:pPr>
              <w:rPr>
                <w:sz w:val="24"/>
                <w:szCs w:val="24"/>
              </w:rPr>
            </w:pPr>
          </w:p>
        </w:tc>
        <w:tc>
          <w:tcPr>
            <w:tcW w:w="2303" w:type="dxa"/>
            <w:vAlign w:val="center"/>
          </w:tcPr>
          <w:p>
            <w:pPr>
              <w:rPr>
                <w:sz w:val="24"/>
                <w:szCs w:val="24"/>
              </w:rPr>
            </w:pPr>
          </w:p>
        </w:tc>
        <w:tc>
          <w:tcPr>
            <w:tcW w:w="2933"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vAlign w:val="center"/>
          </w:tcPr>
          <w:p>
            <w:pPr>
              <w:rPr>
                <w:sz w:val="24"/>
                <w:szCs w:val="24"/>
              </w:rPr>
            </w:pPr>
            <w:r>
              <w:rPr>
                <w:rFonts w:hint="eastAsia"/>
                <w:sz w:val="24"/>
                <w:szCs w:val="24"/>
              </w:rPr>
              <w:t>作者联系电话</w:t>
            </w:r>
          </w:p>
        </w:tc>
        <w:tc>
          <w:tcPr>
            <w:tcW w:w="7371" w:type="dxa"/>
            <w:gridSpan w:val="3"/>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vAlign w:val="center"/>
          </w:tcPr>
          <w:p>
            <w:pPr>
              <w:rPr>
                <w:sz w:val="24"/>
                <w:szCs w:val="24"/>
              </w:rPr>
            </w:pPr>
            <w:r>
              <w:rPr>
                <w:rFonts w:hint="eastAsia"/>
                <w:sz w:val="24"/>
                <w:szCs w:val="24"/>
              </w:rPr>
              <w:t>作者电子邮箱</w:t>
            </w:r>
          </w:p>
        </w:tc>
        <w:tc>
          <w:tcPr>
            <w:tcW w:w="7371" w:type="dxa"/>
            <w:gridSpan w:val="3"/>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1986" w:type="dxa"/>
            <w:vAlign w:val="center"/>
          </w:tcPr>
          <w:p>
            <w:pPr>
              <w:rPr>
                <w:sz w:val="24"/>
                <w:szCs w:val="24"/>
              </w:rPr>
            </w:pPr>
            <w:r>
              <w:rPr>
                <w:rFonts w:hint="eastAsia"/>
                <w:sz w:val="24"/>
                <w:szCs w:val="24"/>
              </w:rPr>
              <w:t>作品说明</w:t>
            </w:r>
          </w:p>
        </w:tc>
        <w:tc>
          <w:tcPr>
            <w:tcW w:w="7371" w:type="dxa"/>
            <w:gridSpan w:val="3"/>
          </w:tcPr>
          <w:p>
            <w:pPr>
              <w:spacing w:line="360" w:lineRule="exact"/>
              <w:rPr>
                <w:color w:val="FF0000"/>
                <w:sz w:val="24"/>
                <w:szCs w:val="24"/>
              </w:rPr>
            </w:pPr>
            <w:r>
              <w:rPr>
                <w:rFonts w:hint="eastAsia"/>
                <w:sz w:val="24"/>
                <w:szCs w:val="24"/>
              </w:rPr>
              <w:t>不超过3</w:t>
            </w:r>
            <w:r>
              <w:rPr>
                <w:sz w:val="24"/>
                <w:szCs w:val="24"/>
              </w:rPr>
              <w:t>00</w:t>
            </w:r>
            <w:r>
              <w:rPr>
                <w:rFonts w:hint="eastAsia"/>
                <w:sz w:val="24"/>
                <w:szCs w:val="24"/>
              </w:rPr>
              <w:t>字</w:t>
            </w:r>
          </w:p>
        </w:tc>
      </w:tr>
    </w:tbl>
    <w:p>
      <w:pPr>
        <w:widowControl/>
        <w:spacing w:line="540" w:lineRule="atLeas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35"/>
    <w:rsid w:val="00081A96"/>
    <w:rsid w:val="000B637C"/>
    <w:rsid w:val="000C047D"/>
    <w:rsid w:val="000C330B"/>
    <w:rsid w:val="000E013F"/>
    <w:rsid w:val="00316E2A"/>
    <w:rsid w:val="00322FE0"/>
    <w:rsid w:val="00327D43"/>
    <w:rsid w:val="00382BAC"/>
    <w:rsid w:val="003A052E"/>
    <w:rsid w:val="003A1D02"/>
    <w:rsid w:val="003D7111"/>
    <w:rsid w:val="004054CC"/>
    <w:rsid w:val="004D51FE"/>
    <w:rsid w:val="004E290D"/>
    <w:rsid w:val="005E6BBF"/>
    <w:rsid w:val="005F62C6"/>
    <w:rsid w:val="00601228"/>
    <w:rsid w:val="00605DA4"/>
    <w:rsid w:val="0061480B"/>
    <w:rsid w:val="0064228C"/>
    <w:rsid w:val="006809B6"/>
    <w:rsid w:val="0071491F"/>
    <w:rsid w:val="00777D92"/>
    <w:rsid w:val="007E4575"/>
    <w:rsid w:val="00892CE6"/>
    <w:rsid w:val="008C2AC1"/>
    <w:rsid w:val="008F120D"/>
    <w:rsid w:val="0090633A"/>
    <w:rsid w:val="00914123"/>
    <w:rsid w:val="00922E86"/>
    <w:rsid w:val="00944D35"/>
    <w:rsid w:val="00990109"/>
    <w:rsid w:val="00993536"/>
    <w:rsid w:val="009F476A"/>
    <w:rsid w:val="00A14C84"/>
    <w:rsid w:val="00A31381"/>
    <w:rsid w:val="00A65F37"/>
    <w:rsid w:val="00A9252F"/>
    <w:rsid w:val="00AD3E99"/>
    <w:rsid w:val="00B01A79"/>
    <w:rsid w:val="00B65507"/>
    <w:rsid w:val="00C16C0E"/>
    <w:rsid w:val="00C266E3"/>
    <w:rsid w:val="00DA0903"/>
    <w:rsid w:val="00DF2471"/>
    <w:rsid w:val="00E079AC"/>
    <w:rsid w:val="00E12F31"/>
    <w:rsid w:val="00E339EE"/>
    <w:rsid w:val="00E72836"/>
    <w:rsid w:val="00F40445"/>
    <w:rsid w:val="00F96BCB"/>
    <w:rsid w:val="00FA23E7"/>
    <w:rsid w:val="00FD01D2"/>
    <w:rsid w:val="00FE652A"/>
    <w:rsid w:val="300E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380</Words>
  <Characters>2166</Characters>
  <Lines>18</Lines>
  <Paragraphs>5</Paragraphs>
  <TotalTime>372</TotalTime>
  <ScaleCrop>false</ScaleCrop>
  <LinksUpToDate>false</LinksUpToDate>
  <CharactersWithSpaces>2541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2018-09-29T06:39:00Z</dcterms:created>
  <dc:creator>金坛开放大学</dc:creator>
  <cp:lastModifiedBy>小明</cp:lastModifiedBy>
  <dcterms:modified xsi:type="dcterms:W3CDTF">2021-03-01T06:40:28Z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